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Pr="00D87D9B" w:rsidRDefault="00510E09">
      <w:pPr>
        <w:rPr>
          <w:rFonts w:asciiTheme="majorHAnsi" w:hAnsiTheme="majorHAnsi"/>
          <w:b/>
          <w:i/>
          <w:sz w:val="24"/>
          <w:szCs w:val="24"/>
        </w:rPr>
      </w:pPr>
      <w:r w:rsidRPr="00D87D9B">
        <w:rPr>
          <w:rFonts w:asciiTheme="majorHAnsi" w:hAnsiTheme="majorHAnsi"/>
          <w:b/>
          <w:i/>
          <w:sz w:val="24"/>
          <w:szCs w:val="24"/>
        </w:rPr>
        <w:t>DACRO</w:t>
      </w:r>
      <w:r w:rsidR="00D87D9B" w:rsidRPr="00D87D9B">
        <w:rPr>
          <w:rFonts w:asciiTheme="majorHAnsi" w:hAnsiTheme="majorHAnsi"/>
          <w:b/>
          <w:i/>
          <w:sz w:val="24"/>
          <w:szCs w:val="24"/>
        </w:rPr>
        <w:t xml:space="preserve">  (</w:t>
      </w:r>
      <w:r w:rsidR="00D87D9B" w:rsidRPr="00D87D9B">
        <w:rPr>
          <w:rFonts w:asciiTheme="majorHAnsi" w:hAnsiTheme="majorHAnsi"/>
          <w:b/>
          <w:bCs/>
          <w:i/>
          <w:iCs/>
          <w:sz w:val="24"/>
          <w:szCs w:val="24"/>
        </w:rPr>
        <w:t>D</w:t>
      </w:r>
      <w:r w:rsidR="00D87D9B" w:rsidRPr="00D87D9B">
        <w:rPr>
          <w:rFonts w:asciiTheme="majorHAnsi" w:hAnsiTheme="majorHAnsi"/>
          <w:i/>
          <w:iCs/>
          <w:sz w:val="24"/>
          <w:szCs w:val="24"/>
        </w:rPr>
        <w:t>isease-</w:t>
      </w:r>
      <w:r w:rsidR="00D87D9B" w:rsidRPr="00D87D9B">
        <w:rPr>
          <w:rFonts w:asciiTheme="majorHAnsi" w:hAnsiTheme="majorHAnsi"/>
          <w:b/>
          <w:bCs/>
          <w:i/>
          <w:iCs/>
          <w:sz w:val="24"/>
          <w:szCs w:val="24"/>
        </w:rPr>
        <w:t>A</w:t>
      </w:r>
      <w:r w:rsidR="00D87D9B" w:rsidRPr="00D87D9B">
        <w:rPr>
          <w:rFonts w:asciiTheme="majorHAnsi" w:hAnsiTheme="majorHAnsi"/>
          <w:i/>
          <w:iCs/>
          <w:sz w:val="24"/>
          <w:szCs w:val="24"/>
        </w:rPr>
        <w:t xml:space="preserve">ssociated </w:t>
      </w:r>
      <w:r w:rsidR="00D87D9B" w:rsidRPr="00D87D9B">
        <w:rPr>
          <w:rFonts w:asciiTheme="majorHAnsi" w:hAnsiTheme="majorHAnsi"/>
          <w:b/>
          <w:bCs/>
          <w:i/>
          <w:iCs/>
          <w:sz w:val="24"/>
          <w:szCs w:val="24"/>
        </w:rPr>
        <w:t>C</w:t>
      </w:r>
      <w:r w:rsidR="00D87D9B" w:rsidRPr="00D87D9B">
        <w:rPr>
          <w:rFonts w:asciiTheme="majorHAnsi" w:hAnsiTheme="majorHAnsi"/>
          <w:i/>
          <w:iCs/>
          <w:sz w:val="24"/>
          <w:szCs w:val="24"/>
        </w:rPr>
        <w:t xml:space="preserve">hromosomal </w:t>
      </w:r>
      <w:r w:rsidR="00D87D9B" w:rsidRPr="00D87D9B">
        <w:rPr>
          <w:rFonts w:asciiTheme="majorHAnsi" w:hAnsiTheme="majorHAnsi"/>
          <w:b/>
          <w:bCs/>
          <w:i/>
          <w:iCs/>
          <w:sz w:val="24"/>
          <w:szCs w:val="24"/>
        </w:rPr>
        <w:t>R</w:t>
      </w:r>
      <w:r w:rsidR="00D87D9B" w:rsidRPr="00D87D9B">
        <w:rPr>
          <w:rFonts w:asciiTheme="majorHAnsi" w:hAnsiTheme="majorHAnsi"/>
          <w:i/>
          <w:iCs/>
          <w:sz w:val="24"/>
          <w:szCs w:val="24"/>
        </w:rPr>
        <w:t xml:space="preserve">earrangements </w:t>
      </w:r>
      <w:r w:rsidR="00D87D9B" w:rsidRPr="00D87D9B">
        <w:rPr>
          <w:rFonts w:asciiTheme="majorHAnsi" w:hAnsiTheme="majorHAnsi"/>
          <w:b/>
          <w:bCs/>
          <w:i/>
          <w:iCs/>
          <w:sz w:val="24"/>
          <w:szCs w:val="24"/>
        </w:rPr>
        <w:t>O</w:t>
      </w:r>
      <w:r w:rsidR="00D87D9B" w:rsidRPr="00D87D9B">
        <w:rPr>
          <w:rFonts w:asciiTheme="majorHAnsi" w:hAnsiTheme="majorHAnsi"/>
          <w:i/>
          <w:iCs/>
          <w:sz w:val="24"/>
          <w:szCs w:val="24"/>
        </w:rPr>
        <w:t>nline)</w:t>
      </w:r>
    </w:p>
    <w:p w:rsidR="00510E09" w:rsidRPr="00D87D9B" w:rsidRDefault="00510E09">
      <w:pPr>
        <w:rPr>
          <w:rFonts w:asciiTheme="majorHAnsi" w:hAnsiTheme="majorHAnsi"/>
          <w:sz w:val="24"/>
          <w:szCs w:val="24"/>
        </w:rPr>
      </w:pPr>
    </w:p>
    <w:p w:rsidR="00510E09" w:rsidRPr="00880CCE" w:rsidRDefault="00D87D9B">
      <w:pPr>
        <w:rPr>
          <w:rFonts w:asciiTheme="majorHAnsi" w:hAnsiTheme="majorHAnsi"/>
          <w:sz w:val="24"/>
          <w:szCs w:val="24"/>
        </w:rPr>
      </w:pPr>
      <w:r w:rsidRPr="00880CCE">
        <w:rPr>
          <w:rFonts w:asciiTheme="majorHAnsi" w:hAnsiTheme="majorHAnsi"/>
          <w:sz w:val="24"/>
          <w:szCs w:val="24"/>
        </w:rPr>
        <w:t>34</w:t>
      </w:r>
      <w:r w:rsidR="00510E09" w:rsidRPr="00880CCE">
        <w:rPr>
          <w:rFonts w:asciiTheme="majorHAnsi" w:hAnsiTheme="majorHAnsi"/>
          <w:sz w:val="24"/>
          <w:szCs w:val="24"/>
        </w:rPr>
        <w:t xml:space="preserve"> patients with OFC</w:t>
      </w:r>
    </w:p>
    <w:p w:rsidR="00D87D9B" w:rsidRPr="00D87D9B" w:rsidRDefault="00D87D9B">
      <w:pPr>
        <w:rPr>
          <w:rFonts w:asciiTheme="majorHAnsi" w:hAnsiTheme="majorHAnsi"/>
          <w:sz w:val="24"/>
          <w:szCs w:val="24"/>
        </w:rPr>
      </w:pPr>
      <w:r w:rsidRPr="00D87D9B">
        <w:rPr>
          <w:rFonts w:asciiTheme="majorHAnsi" w:hAnsiTheme="majorHAnsi"/>
          <w:sz w:val="24"/>
          <w:szCs w:val="24"/>
        </w:rPr>
        <w:t>PROBLEM: only cytogenetic bands (NO microarray data)</w:t>
      </w:r>
    </w:p>
    <w:p w:rsidR="00510E09" w:rsidRPr="00D87D9B" w:rsidRDefault="00510E09">
      <w:pPr>
        <w:rPr>
          <w:rFonts w:asciiTheme="majorHAnsi" w:hAnsiTheme="majorHAnsi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0"/>
        <w:gridCol w:w="7380"/>
        <w:gridCol w:w="2606"/>
      </w:tblGrid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7D9B" w:rsidRPr="00D87D9B" w:rsidRDefault="00D87D9B" w:rsidP="00D87D9B">
            <w:pPr>
              <w:jc w:val="center"/>
              <w:rPr>
                <w:rFonts w:asciiTheme="majorHAnsi" w:hAnsiTheme="majorHAnsi"/>
                <w:b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b/>
                <w:noProof w:val="0"/>
                <w:szCs w:val="22"/>
                <w:lang w:val="nl-NL"/>
              </w:rPr>
              <w:t>ID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7D9B" w:rsidRPr="00D87D9B" w:rsidRDefault="00D87D9B" w:rsidP="00D87D9B">
            <w:pPr>
              <w:jc w:val="center"/>
              <w:rPr>
                <w:rFonts w:asciiTheme="majorHAnsi" w:hAnsiTheme="majorHAnsi"/>
                <w:b/>
                <w:noProof w:val="0"/>
                <w:szCs w:val="22"/>
              </w:rPr>
            </w:pPr>
            <w:r w:rsidRPr="00D87D9B">
              <w:rPr>
                <w:rFonts w:asciiTheme="majorHAnsi" w:hAnsiTheme="majorHAnsi"/>
                <w:b/>
                <w:noProof w:val="0"/>
                <w:szCs w:val="22"/>
              </w:rPr>
              <w:t>Phenotypes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7D9B" w:rsidRPr="00D87D9B" w:rsidRDefault="00880CCE" w:rsidP="00880CCE">
            <w:pPr>
              <w:jc w:val="center"/>
              <w:rPr>
                <w:rFonts w:asciiTheme="majorHAnsi" w:hAnsiTheme="majorHAnsi"/>
                <w:b/>
                <w:noProof w:val="0"/>
                <w:szCs w:val="22"/>
              </w:rPr>
            </w:pPr>
            <w:r>
              <w:rPr>
                <w:rFonts w:asciiTheme="majorHAnsi" w:hAnsiTheme="majorHAnsi"/>
                <w:b/>
                <w:noProof w:val="0"/>
                <w:szCs w:val="22"/>
              </w:rPr>
              <w:t>Trans</w:t>
            </w:r>
            <w:r w:rsidR="00D87D9B" w:rsidRPr="00D87D9B">
              <w:rPr>
                <w:rFonts w:asciiTheme="majorHAnsi" w:hAnsiTheme="majorHAnsi"/>
                <w:b/>
                <w:noProof w:val="0"/>
                <w:szCs w:val="22"/>
              </w:rPr>
              <w:t>l</w:t>
            </w:r>
            <w:r>
              <w:rPr>
                <w:rFonts w:asciiTheme="majorHAnsi" w:hAnsiTheme="majorHAnsi"/>
                <w:b/>
                <w:noProof w:val="0"/>
                <w:szCs w:val="22"/>
              </w:rPr>
              <w:t>o</w:t>
            </w:r>
            <w:r w:rsidR="00D87D9B" w:rsidRPr="00D87D9B">
              <w:rPr>
                <w:rFonts w:asciiTheme="majorHAnsi" w:hAnsiTheme="majorHAnsi"/>
                <w:b/>
                <w:noProof w:val="0"/>
                <w:szCs w:val="22"/>
              </w:rPr>
              <w:t>cation/Inversion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939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Cleft lip and palate, Isolated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t(2;8)(q33.1;q24.2)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1047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Cleft lip and palate, other </w:t>
            </w: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dysmorphism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t(6;9)(p24.3;q22.33)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460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Cleft lip and ventricular </w:t>
            </w: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septal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 defect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t(2;10)(q53;p13)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461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Cleft lip and ventricular </w:t>
            </w: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septal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 defect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t(10;14)(p13;q24)pat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27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Cleft palate, isolated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t(2;7)(q33.1;p21.1)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28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Cleft palate, isolated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t(2;11)(q33.1;p13)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654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Cleft palate, Isolated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t(6;7)(p25;q31)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1040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Cleft palate, prominent ears, small chin, tapering fingers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t(11;13)(p15.4;q22.1)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648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Cleft palate, severe learning disabilities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inv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(12)(p11.21q24.31)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645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Coloboma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 (bilateral), cleft lip and palate, </w:t>
            </w: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micropthalmia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</w:rPr>
              <w:t>, mental retardation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inv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(4)(q21.22q35)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623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Congenital glaucoma, cleft lip and palate and mental retardation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t(1;6)(q23;q27)</w:t>
            </w:r>
          </w:p>
        </w:tc>
      </w:tr>
      <w:tr w:rsidR="00510E09" w:rsidRPr="00510E09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616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Dolichocephalic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 skull, low set abnormal ears, </w:t>
            </w: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antimongoloid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 </w:t>
            </w: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palpebral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 fissures, </w:t>
            </w:r>
            <w:proofErr w:type="spellStart"/>
            <w:r w:rsidRPr="00510E09">
              <w:rPr>
                <w:rFonts w:asciiTheme="majorHAnsi" w:hAnsiTheme="majorHAnsi"/>
                <w:noProof w:val="0"/>
                <w:szCs w:val="22"/>
              </w:rPr>
              <w:t>epicanthal</w:t>
            </w:r>
            <w:proofErr w:type="spellEnd"/>
            <w:r w:rsidRPr="00510E09">
              <w:rPr>
                <w:rFonts w:asciiTheme="majorHAnsi" w:hAnsiTheme="majorHAnsi"/>
                <w:noProof w:val="0"/>
                <w:szCs w:val="22"/>
              </w:rPr>
              <w:t xml:space="preserve"> folds, cleft of soft palate, partial cle</w:t>
            </w:r>
            <w:r w:rsidR="00D87D9B">
              <w:rPr>
                <w:rFonts w:asciiTheme="majorHAnsi" w:hAnsiTheme="majorHAnsi"/>
                <w:noProof w:val="0"/>
                <w:szCs w:val="22"/>
              </w:rPr>
              <w:t xml:space="preserve">ft of hard palate, </w:t>
            </w:r>
            <w:proofErr w:type="spellStart"/>
            <w:r w:rsidR="00D87D9B">
              <w:rPr>
                <w:rFonts w:asciiTheme="majorHAnsi" w:hAnsiTheme="majorHAnsi"/>
                <w:noProof w:val="0"/>
                <w:szCs w:val="22"/>
              </w:rPr>
              <w:t>micrognathia</w:t>
            </w:r>
            <w:proofErr w:type="spellEnd"/>
          </w:p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</w:rPr>
            </w:pPr>
            <w:r w:rsidRPr="00510E09">
              <w:rPr>
                <w:rFonts w:asciiTheme="majorHAnsi" w:hAnsiTheme="majorHAnsi"/>
                <w:noProof w:val="0"/>
                <w:szCs w:val="22"/>
              </w:rPr>
              <w:t>and severe mental retardation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E09" w:rsidRPr="00510E09" w:rsidRDefault="00510E09" w:rsidP="00510E09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510E09">
              <w:rPr>
                <w:rFonts w:asciiTheme="majorHAnsi" w:hAnsiTheme="majorHAnsi"/>
                <w:noProof w:val="0"/>
                <w:szCs w:val="22"/>
                <w:lang w:val="nl-NL"/>
              </w:rPr>
              <w:t>t(2;8;20)(q23;q22;q11.2)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111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Ectrodactyly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Ectodermal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Dysplasia and cleft lip/palate syndrome 1 (EEC1)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t(7;9)(q21.3;p12)pat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112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Ectrodactyly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Ectodermal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Dysplasia and cleft lip/palate syndrome 1 (EEC1)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t(2;7)(q21.1;q22.3)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113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Ectrodactyly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Ectodermal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Dysplasia and cleft lip/palate syndrome 1 (EEC1)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t(7;12)(q21.3;q24.2)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114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Ectrodactyly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Ectodermal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Dysplasia and cleft lip/palate syndrome 1 (EEC1)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t(6;13)(q21;q12)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565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Epicanthal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folds, flat nasal bridge, small mouth,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micrognathia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>, low set ears, cleft palate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t(9;11)(p21.2;p14.2)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399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Hypertelorism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microtia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, and facial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clefting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syndrome (HMC)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t(1;7)(q31.2;p15.1-p15.3)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827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Hypogonadotropic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hypogonadism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(infantile testes),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azoospermia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>, and cleft lip and palate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t(7;8)(p12.3;p11.2)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323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Median cleft of upper lip/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pedunculated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skin masses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t(X;16)(q28;q11.2)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824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Michelin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tyre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syndrome with distinctive facial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dysmorphia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submucous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cleft palate, lateral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clefting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of the mouth, genital and dental anomalies and moderate developmental delay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inv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(7)(q22q31.3)mat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613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Multiple anomalies including: open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metopic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suture, midline cleft palate,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micrognathia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tetralogy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of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Fallot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variant with high ventricular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septal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defect,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atretic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pulmonic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valve,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hypoplastic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pulmonary artery, duplication of vagina and uterus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t(X;17)(q11;q11)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310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Oblique facial clefts (bilateral),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calcaneovarus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foot deformity, severe bilateral ocular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hypoplasia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t(1;22)(q21;q12)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141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Orofacial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Cleft 1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t(6;7)(p23;q36.1)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142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Orofacial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Cleft 1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t(6;9)(p23;q22.3)mat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143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Orofacial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Cleft 1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t(2;19)(q11.2;q13.3)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145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Orofacial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Cleft 1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inv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(8)(p23q11)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lastRenderedPageBreak/>
              <w:t>909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Orofacial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Cleft 1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t(6;9)(p24;p23)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1084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Orofacial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Cleft 1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t(9;17)(q32;q12)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144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Orofacial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 Cleft 1 with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hypospadias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inv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(4)(p13q21.1)pat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967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</w:rPr>
            </w:pPr>
            <w:r w:rsidRPr="00D87D9B">
              <w:rPr>
                <w:rFonts w:asciiTheme="majorHAnsi" w:hAnsiTheme="majorHAnsi"/>
                <w:noProof w:val="0"/>
                <w:szCs w:val="22"/>
              </w:rPr>
              <w:t xml:space="preserve">Peters Anomaly associated with multiple midline defects (cranial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</w:rPr>
              <w:t>meningocele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</w:rPr>
              <w:t>, cardiac defects and cleft lip and palate)</w:t>
            </w:r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inv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(4)(q12q13.3)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987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Severe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lower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eyelid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colobomas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malar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and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mandibular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hypoplasia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bilateral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microtia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with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external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auditory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canal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atreasia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dysplastic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ossicles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hearing loss,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bilateral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choanal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stenosis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cleft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palate,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several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oral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frenula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of the upper lip and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micrognathia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t(2;17)(q24.3;q23) 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1077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Severe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mental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retardation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muscular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hypotonia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seizures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bilateral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sensorineural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hearing loss,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submucous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cleft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palate, persistent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ductus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Botalli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unilateral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cystic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kidney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dysplasia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and frequent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infections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t(11;20)(p15.4;q13.2)</w:t>
            </w:r>
          </w:p>
        </w:tc>
      </w:tr>
      <w:tr w:rsidR="00D87D9B" w:rsidRPr="00D87D9B" w:rsidTr="00D87D9B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1045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Ventricular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septal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defect (VSD),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cleft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palate, XY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sex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reversal</w:t>
            </w:r>
            <w:proofErr w:type="spellEnd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 xml:space="preserve">, </w:t>
            </w:r>
            <w:proofErr w:type="spellStart"/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hydronephrosis</w:t>
            </w:r>
            <w:proofErr w:type="spellEnd"/>
          </w:p>
        </w:tc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D9B" w:rsidRPr="00D87D9B" w:rsidRDefault="00D87D9B" w:rsidP="00D87D9B">
            <w:pPr>
              <w:rPr>
                <w:rFonts w:asciiTheme="majorHAnsi" w:hAnsiTheme="majorHAnsi"/>
                <w:noProof w:val="0"/>
                <w:szCs w:val="22"/>
                <w:lang w:val="nl-NL"/>
              </w:rPr>
            </w:pPr>
            <w:r w:rsidRPr="00D87D9B">
              <w:rPr>
                <w:rFonts w:asciiTheme="majorHAnsi" w:hAnsiTheme="majorHAnsi"/>
                <w:noProof w:val="0"/>
                <w:szCs w:val="22"/>
                <w:lang w:val="nl-NL"/>
              </w:rPr>
              <w:t>t(10;11)(q24.2;p12)</w:t>
            </w:r>
          </w:p>
        </w:tc>
      </w:tr>
    </w:tbl>
    <w:p w:rsidR="00510E09" w:rsidRPr="00D87D9B" w:rsidRDefault="00510E09">
      <w:pPr>
        <w:rPr>
          <w:rFonts w:asciiTheme="majorHAnsi" w:hAnsiTheme="majorHAnsi"/>
          <w:lang w:val="nl-NL"/>
        </w:rPr>
      </w:pPr>
    </w:p>
    <w:sectPr w:rsidR="00510E09" w:rsidRPr="00D87D9B" w:rsidSect="00510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0E09"/>
    <w:rsid w:val="00367154"/>
    <w:rsid w:val="00510E09"/>
    <w:rsid w:val="00880CCE"/>
    <w:rsid w:val="0099547C"/>
    <w:rsid w:val="009D114F"/>
    <w:rsid w:val="00AB3026"/>
    <w:rsid w:val="00B13654"/>
    <w:rsid w:val="00BE5E4F"/>
    <w:rsid w:val="00D87D9B"/>
    <w:rsid w:val="00E71481"/>
    <w:rsid w:val="00F5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noProof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2</cp:revision>
  <dcterms:created xsi:type="dcterms:W3CDTF">2014-07-07T07:30:00Z</dcterms:created>
  <dcterms:modified xsi:type="dcterms:W3CDTF">2014-07-07T08:01:00Z</dcterms:modified>
</cp:coreProperties>
</file>