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-252" w:tblpY="1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99"/>
      </w:tblGrid>
      <w:tr w:rsidR="004245D1" w:rsidRPr="00D976CA" w:rsidTr="00EC52F0">
        <w:tc>
          <w:tcPr>
            <w:tcW w:w="5000" w:type="pct"/>
            <w:shd w:val="clear" w:color="auto" w:fill="auto"/>
          </w:tcPr>
          <w:p w:rsidR="004245D1" w:rsidRPr="00D976CA" w:rsidRDefault="00A85090" w:rsidP="00D310FB">
            <w:pPr>
              <w:spacing w:after="0"/>
              <w:rPr>
                <w:b/>
                <w:sz w:val="28"/>
                <w:lang w:val="en-GB"/>
              </w:rPr>
            </w:pPr>
            <w:r w:rsidRPr="00D976CA">
              <w:rPr>
                <w:b/>
                <w:sz w:val="28"/>
                <w:lang w:val="en-GB"/>
              </w:rPr>
              <w:t xml:space="preserve">In solution </w:t>
            </w:r>
            <w:proofErr w:type="spellStart"/>
            <w:r w:rsidRPr="00D976CA">
              <w:rPr>
                <w:b/>
                <w:sz w:val="28"/>
                <w:lang w:val="en-GB"/>
              </w:rPr>
              <w:t>d</w:t>
            </w:r>
            <w:r w:rsidR="00D108AC" w:rsidRPr="00D976CA">
              <w:rPr>
                <w:b/>
                <w:sz w:val="28"/>
                <w:lang w:val="en-GB"/>
              </w:rPr>
              <w:t>imethyl</w:t>
            </w:r>
            <w:proofErr w:type="spellEnd"/>
            <w:r w:rsidR="00D108AC" w:rsidRPr="00D976CA">
              <w:rPr>
                <w:b/>
                <w:sz w:val="28"/>
                <w:lang w:val="en-GB"/>
              </w:rPr>
              <w:t xml:space="preserve"> </w:t>
            </w:r>
            <w:r w:rsidR="00FE089F" w:rsidRPr="00D976CA">
              <w:rPr>
                <w:b/>
                <w:sz w:val="28"/>
                <w:lang w:val="en-GB"/>
              </w:rPr>
              <w:t>labell</w:t>
            </w:r>
            <w:r w:rsidR="00D108AC" w:rsidRPr="00D976CA">
              <w:rPr>
                <w:b/>
                <w:sz w:val="28"/>
                <w:lang w:val="en-GB"/>
              </w:rPr>
              <w:t>ing</w:t>
            </w:r>
          </w:p>
          <w:p w:rsidR="004245D1" w:rsidRPr="00D976CA" w:rsidRDefault="004245D1" w:rsidP="00153DF4">
            <w:pPr>
              <w:spacing w:after="0"/>
              <w:rPr>
                <w:lang w:val="en-GB"/>
              </w:rPr>
            </w:pPr>
            <w:r w:rsidRPr="00D976CA">
              <w:rPr>
                <w:lang w:val="en-GB"/>
              </w:rPr>
              <w:t xml:space="preserve">Modified according to </w:t>
            </w:r>
            <w:r w:rsidR="00D108AC" w:rsidRPr="00D976CA">
              <w:rPr>
                <w:lang w:val="en-GB"/>
              </w:rPr>
              <w:t xml:space="preserve">Paul J </w:t>
            </w:r>
            <w:proofErr w:type="spellStart"/>
            <w:r w:rsidR="00D108AC" w:rsidRPr="00D976CA">
              <w:rPr>
                <w:lang w:val="en-GB"/>
              </w:rPr>
              <w:t>Boersema</w:t>
            </w:r>
            <w:proofErr w:type="spellEnd"/>
            <w:r w:rsidR="00153DF4" w:rsidRPr="00D976CA">
              <w:rPr>
                <w:lang w:val="en-GB"/>
              </w:rPr>
              <w:t xml:space="preserve"> et al. </w:t>
            </w:r>
            <w:r w:rsidR="00D108AC" w:rsidRPr="00D976CA">
              <w:rPr>
                <w:lang w:val="en-GB"/>
              </w:rPr>
              <w:t xml:space="preserve">Multiplex peptide stable isotope </w:t>
            </w:r>
            <w:r w:rsidR="00FE089F" w:rsidRPr="00D976CA">
              <w:rPr>
                <w:lang w:val="en-GB"/>
              </w:rPr>
              <w:t>labell</w:t>
            </w:r>
            <w:r w:rsidR="00D108AC" w:rsidRPr="00D976CA">
              <w:rPr>
                <w:lang w:val="en-GB"/>
              </w:rPr>
              <w:t>ing for quantitative proteomics</w:t>
            </w:r>
            <w:r w:rsidR="00153DF4" w:rsidRPr="00D976CA">
              <w:rPr>
                <w:lang w:val="en-GB"/>
              </w:rPr>
              <w:t xml:space="preserve">. Nature </w:t>
            </w:r>
            <w:r w:rsidR="00D108AC" w:rsidRPr="00D976CA">
              <w:rPr>
                <w:lang w:val="en-GB"/>
              </w:rPr>
              <w:t>Protocols 2009</w:t>
            </w:r>
          </w:p>
          <w:p w:rsidR="004245D1" w:rsidRPr="00D976CA" w:rsidRDefault="004245D1" w:rsidP="004E62F5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 w:rsidRPr="00D976CA">
              <w:rPr>
                <w:lang w:val="en-GB"/>
              </w:rPr>
              <w:t xml:space="preserve">Last modified </w:t>
            </w:r>
            <w:r w:rsidR="000622C0">
              <w:rPr>
                <w:lang w:val="en-GB"/>
              </w:rPr>
              <w:t>19.03</w:t>
            </w:r>
            <w:r w:rsidRPr="00D976CA">
              <w:rPr>
                <w:lang w:val="en-GB"/>
              </w:rPr>
              <w:t>.201</w:t>
            </w:r>
            <w:r w:rsidR="000622C0">
              <w:rPr>
                <w:lang w:val="en-GB"/>
              </w:rPr>
              <w:t>4</w:t>
            </w:r>
          </w:p>
        </w:tc>
      </w:tr>
      <w:tr w:rsidR="004245D1" w:rsidRPr="00D976CA" w:rsidTr="00EC52F0">
        <w:tc>
          <w:tcPr>
            <w:tcW w:w="5000" w:type="pct"/>
            <w:shd w:val="clear" w:color="auto" w:fill="auto"/>
          </w:tcPr>
          <w:p w:rsidR="004245D1" w:rsidRPr="00D976CA" w:rsidRDefault="004245D1" w:rsidP="00D310FB">
            <w:pPr>
              <w:spacing w:after="0"/>
              <w:rPr>
                <w:b/>
                <w:lang w:val="en-GB"/>
              </w:rPr>
            </w:pPr>
            <w:r w:rsidRPr="00D976CA">
              <w:rPr>
                <w:b/>
                <w:sz w:val="24"/>
                <w:lang w:val="en-GB"/>
              </w:rPr>
              <w:t>Materials</w:t>
            </w:r>
          </w:p>
        </w:tc>
      </w:tr>
      <w:tr w:rsidR="004245D1" w:rsidRPr="00D976CA" w:rsidTr="00EC52F0">
        <w:tc>
          <w:tcPr>
            <w:tcW w:w="5000" w:type="pct"/>
            <w:shd w:val="clear" w:color="auto" w:fill="auto"/>
          </w:tcPr>
          <w:p w:rsidR="00330561" w:rsidRPr="00D976CA" w:rsidRDefault="00D108AC" w:rsidP="005B17D5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lang w:val="en-GB"/>
              </w:rPr>
              <w:t>TEAB (</w:t>
            </w:r>
            <w:proofErr w:type="spellStart"/>
            <w:r w:rsidRPr="00D976CA">
              <w:rPr>
                <w:lang w:val="en-GB"/>
              </w:rPr>
              <w:t>triethylammonium</w:t>
            </w:r>
            <w:proofErr w:type="spellEnd"/>
            <w:r w:rsidRPr="00D976CA">
              <w:rPr>
                <w:lang w:val="en-GB"/>
              </w:rPr>
              <w:t xml:space="preserve"> bicarbonate): 100mM ~pH 8.0 in water. 100</w:t>
            </w:r>
            <w:r w:rsidRPr="00D976CA">
              <w:rPr>
                <w:rFonts w:cs="Arial"/>
                <w:lang w:val="en-GB"/>
              </w:rPr>
              <w:t xml:space="preserve"> </w:t>
            </w:r>
            <w:proofErr w:type="spellStart"/>
            <w:r w:rsidRPr="00D976CA">
              <w:rPr>
                <w:rFonts w:cs="Arial"/>
                <w:lang w:val="en-GB"/>
              </w:rPr>
              <w:t>μl</w:t>
            </w:r>
            <w:proofErr w:type="spellEnd"/>
            <w:r w:rsidRPr="00D976CA">
              <w:rPr>
                <w:rFonts w:cs="Arial"/>
                <w:lang w:val="en-GB"/>
              </w:rPr>
              <w:t>/sample</w:t>
            </w:r>
          </w:p>
          <w:p w:rsidR="00D108AC" w:rsidRPr="00D976CA" w:rsidRDefault="005369AD" w:rsidP="00D108A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b/>
                <w:lang w:val="en-GB"/>
              </w:rPr>
              <w:t>*</w:t>
            </w:r>
            <w:r w:rsidR="00D108AC" w:rsidRPr="00D976CA">
              <w:rPr>
                <w:lang w:val="en-GB"/>
              </w:rPr>
              <w:t>Formaldehyde</w:t>
            </w:r>
            <w:r w:rsidR="00FC35A3" w:rsidRPr="00D976CA">
              <w:rPr>
                <w:lang w:val="en-GB"/>
              </w:rPr>
              <w:t xml:space="preserve"> 4% </w:t>
            </w:r>
            <w:r w:rsidR="00AE0FE3" w:rsidRPr="00D976CA">
              <w:rPr>
                <w:lang w:val="en-GB"/>
              </w:rPr>
              <w:t xml:space="preserve">(v/v) </w:t>
            </w:r>
            <w:r w:rsidR="00FC35A3" w:rsidRPr="00D976CA">
              <w:rPr>
                <w:lang w:val="en-GB"/>
              </w:rPr>
              <w:t>in water. 4</w:t>
            </w:r>
            <w:r w:rsidR="00FC35A3" w:rsidRPr="00D976CA">
              <w:rPr>
                <w:rFonts w:cs="Arial"/>
                <w:lang w:val="en-GB"/>
              </w:rPr>
              <w:t xml:space="preserve"> </w:t>
            </w:r>
            <w:proofErr w:type="spellStart"/>
            <w:r w:rsidR="00FC35A3" w:rsidRPr="00D976CA">
              <w:rPr>
                <w:rFonts w:cs="Arial"/>
                <w:lang w:val="en-GB"/>
              </w:rPr>
              <w:t>μl</w:t>
            </w:r>
            <w:proofErr w:type="spellEnd"/>
            <w:r w:rsidR="00FC35A3" w:rsidRPr="00D976CA">
              <w:rPr>
                <w:lang w:val="en-GB"/>
              </w:rPr>
              <w:t>/sample</w:t>
            </w:r>
          </w:p>
          <w:p w:rsidR="00D108AC" w:rsidRPr="00D976CA" w:rsidRDefault="00D108AC" w:rsidP="00D108AC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>CH</w:t>
            </w:r>
            <w:r w:rsidRPr="00D976CA">
              <w:rPr>
                <w:rFonts w:cs="Arial"/>
                <w:vertAlign w:val="subscript"/>
                <w:lang w:val="en-GB"/>
              </w:rPr>
              <w:t>2</w:t>
            </w:r>
            <w:r w:rsidRPr="00D976CA">
              <w:rPr>
                <w:rFonts w:cs="Arial"/>
                <w:lang w:val="en-GB"/>
              </w:rPr>
              <w:t xml:space="preserve">O (light </w:t>
            </w:r>
            <w:r w:rsidR="00FE089F" w:rsidRPr="00D976CA">
              <w:rPr>
                <w:rFonts w:cs="Arial"/>
                <w:lang w:val="en-GB"/>
              </w:rPr>
              <w:t>labell</w:t>
            </w:r>
            <w:r w:rsidRPr="00D976CA">
              <w:rPr>
                <w:rFonts w:cs="Arial"/>
                <w:lang w:val="en-GB"/>
              </w:rPr>
              <w:t>ing)</w:t>
            </w:r>
          </w:p>
          <w:p w:rsidR="005369AD" w:rsidRPr="00D976CA" w:rsidRDefault="00D108AC" w:rsidP="00D108AC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>CD</w:t>
            </w:r>
            <w:r w:rsidRPr="00D976CA">
              <w:rPr>
                <w:rFonts w:cs="Arial"/>
                <w:vertAlign w:val="subscript"/>
                <w:lang w:val="en-GB"/>
              </w:rPr>
              <w:t>2</w:t>
            </w:r>
            <w:r w:rsidRPr="00D976CA">
              <w:rPr>
                <w:rFonts w:cs="Arial"/>
                <w:lang w:val="en-GB"/>
              </w:rPr>
              <w:t>O (</w:t>
            </w:r>
            <w:r w:rsidR="0065056A">
              <w:rPr>
                <w:rFonts w:cs="Arial"/>
                <w:lang w:val="en-GB"/>
              </w:rPr>
              <w:t>medium labelling)</w:t>
            </w:r>
          </w:p>
          <w:p w:rsidR="00D108AC" w:rsidRPr="00D976CA" w:rsidRDefault="005369AD" w:rsidP="00D108AC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rFonts w:cs="Arial"/>
                <w:vertAlign w:val="superscript"/>
                <w:lang w:val="en-GB"/>
              </w:rPr>
              <w:t>13</w:t>
            </w:r>
            <w:r w:rsidRPr="00D976CA">
              <w:rPr>
                <w:rFonts w:cs="Arial"/>
                <w:lang w:val="en-GB"/>
              </w:rPr>
              <w:t>CD</w:t>
            </w:r>
            <w:r w:rsidRPr="00D976CA">
              <w:rPr>
                <w:rFonts w:cs="Arial"/>
                <w:vertAlign w:val="subscript"/>
                <w:lang w:val="en-GB"/>
              </w:rPr>
              <w:t>2</w:t>
            </w:r>
            <w:r w:rsidRPr="00D976CA">
              <w:rPr>
                <w:rFonts w:cs="Arial"/>
                <w:lang w:val="en-GB"/>
              </w:rPr>
              <w:t>O (</w:t>
            </w:r>
            <w:r w:rsidR="00D108AC" w:rsidRPr="00D976CA">
              <w:rPr>
                <w:rFonts w:cs="Arial"/>
                <w:lang w:val="en-GB"/>
              </w:rPr>
              <w:t xml:space="preserve">heavy </w:t>
            </w:r>
            <w:r w:rsidR="00FE089F" w:rsidRPr="00D976CA">
              <w:rPr>
                <w:rFonts w:cs="Arial"/>
                <w:lang w:val="en-GB"/>
              </w:rPr>
              <w:t>labell</w:t>
            </w:r>
            <w:r w:rsidR="00D108AC" w:rsidRPr="00D976CA">
              <w:rPr>
                <w:rFonts w:cs="Arial"/>
                <w:lang w:val="en-GB"/>
              </w:rPr>
              <w:t>ing)</w:t>
            </w:r>
          </w:p>
          <w:p w:rsidR="00BE66D8" w:rsidRPr="00D976CA" w:rsidRDefault="005369AD" w:rsidP="00D108AC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rFonts w:cs="Arial"/>
                <w:b/>
                <w:lang w:val="en-GB"/>
              </w:rPr>
              <w:t>*</w:t>
            </w:r>
            <w:r w:rsidR="00AE0FE3" w:rsidRPr="00D976CA">
              <w:rPr>
                <w:rFonts w:cs="Arial"/>
                <w:lang w:val="en-GB"/>
              </w:rPr>
              <w:t xml:space="preserve">Sodium </w:t>
            </w:r>
            <w:proofErr w:type="spellStart"/>
            <w:r w:rsidR="00AE0FE3" w:rsidRPr="00D976CA">
              <w:rPr>
                <w:rFonts w:cs="Arial"/>
                <w:lang w:val="en-GB"/>
              </w:rPr>
              <w:t>cyanoborohydride</w:t>
            </w:r>
            <w:proofErr w:type="spellEnd"/>
            <w:r w:rsidR="00AE0FE3" w:rsidRPr="00D976CA">
              <w:rPr>
                <w:rFonts w:cs="Arial"/>
                <w:lang w:val="en-GB"/>
              </w:rPr>
              <w:t xml:space="preserve">: </w:t>
            </w:r>
            <w:r w:rsidR="00BE66D8" w:rsidRPr="00D976CA">
              <w:rPr>
                <w:rFonts w:cs="Arial"/>
                <w:lang w:val="en-GB"/>
              </w:rPr>
              <w:t xml:space="preserve">0.6M in water. </w:t>
            </w:r>
            <w:r w:rsidR="00BE66D8" w:rsidRPr="00D976CA">
              <w:rPr>
                <w:lang w:val="en-GB"/>
              </w:rPr>
              <w:t>4</w:t>
            </w:r>
            <w:r w:rsidR="00BE66D8" w:rsidRPr="00D976CA">
              <w:rPr>
                <w:rFonts w:cs="Arial"/>
                <w:lang w:val="en-GB"/>
              </w:rPr>
              <w:t xml:space="preserve"> </w:t>
            </w:r>
            <w:proofErr w:type="spellStart"/>
            <w:r w:rsidR="00BE66D8" w:rsidRPr="00D976CA">
              <w:rPr>
                <w:rFonts w:cs="Arial"/>
                <w:lang w:val="en-GB"/>
              </w:rPr>
              <w:t>μl</w:t>
            </w:r>
            <w:proofErr w:type="spellEnd"/>
            <w:r w:rsidR="00BE66D8" w:rsidRPr="00D976CA">
              <w:rPr>
                <w:lang w:val="en-GB"/>
              </w:rPr>
              <w:t>/sample</w:t>
            </w:r>
          </w:p>
          <w:p w:rsidR="00D108AC" w:rsidRPr="00D976CA" w:rsidRDefault="00BE66D8" w:rsidP="00BE66D8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>NaBH</w:t>
            </w:r>
            <w:r w:rsidRPr="00D976CA">
              <w:rPr>
                <w:rFonts w:cs="Arial"/>
                <w:vertAlign w:val="subscript"/>
                <w:lang w:val="en-GB"/>
              </w:rPr>
              <w:t>3</w:t>
            </w:r>
            <w:r w:rsidRPr="00D976CA">
              <w:rPr>
                <w:rFonts w:cs="Arial"/>
                <w:lang w:val="en-GB"/>
              </w:rPr>
              <w:t xml:space="preserve">CN (light/intermediate </w:t>
            </w:r>
            <w:r w:rsidR="00FE089F" w:rsidRPr="00D976CA">
              <w:rPr>
                <w:rFonts w:cs="Arial"/>
                <w:lang w:val="en-GB"/>
              </w:rPr>
              <w:t>labell</w:t>
            </w:r>
            <w:r w:rsidRPr="00D976CA">
              <w:rPr>
                <w:rFonts w:cs="Arial"/>
                <w:lang w:val="en-GB"/>
              </w:rPr>
              <w:t>ing)</w:t>
            </w:r>
          </w:p>
          <w:p w:rsidR="002045E1" w:rsidRPr="00D976CA" w:rsidRDefault="002045E1" w:rsidP="002045E1">
            <w:pPr>
              <w:pStyle w:val="ListParagraph"/>
              <w:numPr>
                <w:ilvl w:val="1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>NaBD</w:t>
            </w:r>
            <w:r w:rsidRPr="00D976CA">
              <w:rPr>
                <w:rFonts w:cs="Arial"/>
                <w:vertAlign w:val="subscript"/>
                <w:lang w:val="en-GB"/>
              </w:rPr>
              <w:t>3</w:t>
            </w:r>
            <w:r w:rsidRPr="00D976CA">
              <w:rPr>
                <w:rFonts w:cs="Arial"/>
                <w:lang w:val="en-GB"/>
              </w:rPr>
              <w:t xml:space="preserve">CN (heavy </w:t>
            </w:r>
            <w:r w:rsidR="00FE089F" w:rsidRPr="00D976CA">
              <w:rPr>
                <w:rFonts w:cs="Arial"/>
                <w:lang w:val="en-GB"/>
              </w:rPr>
              <w:t>labell</w:t>
            </w:r>
            <w:r w:rsidRPr="00D976CA">
              <w:rPr>
                <w:rFonts w:cs="Arial"/>
                <w:lang w:val="en-GB"/>
              </w:rPr>
              <w:t>ing)</w:t>
            </w:r>
          </w:p>
          <w:p w:rsidR="00BE66D8" w:rsidRPr="00D976CA" w:rsidRDefault="005369AD" w:rsidP="00AE0FE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rFonts w:cs="Arial"/>
                <w:b/>
                <w:lang w:val="en-GB"/>
              </w:rPr>
              <w:t>*</w:t>
            </w:r>
            <w:r w:rsidR="00AE0FE3" w:rsidRPr="00D976CA">
              <w:rPr>
                <w:rFonts w:cs="Arial"/>
                <w:lang w:val="en-GB"/>
              </w:rPr>
              <w:t xml:space="preserve">Ammonia: 1% (v/v) in water. 16 </w:t>
            </w:r>
            <w:proofErr w:type="spellStart"/>
            <w:r w:rsidR="00AE0FE3" w:rsidRPr="00D976CA">
              <w:rPr>
                <w:rFonts w:cs="Arial"/>
                <w:lang w:val="en-GB"/>
              </w:rPr>
              <w:t>μl</w:t>
            </w:r>
            <w:proofErr w:type="spellEnd"/>
            <w:r w:rsidR="00AE0FE3" w:rsidRPr="00D976CA">
              <w:rPr>
                <w:lang w:val="en-GB"/>
              </w:rPr>
              <w:t>/sample</w:t>
            </w:r>
          </w:p>
          <w:p w:rsidR="00AE0FE3" w:rsidRPr="00D976CA" w:rsidRDefault="005369AD" w:rsidP="00AE0FE3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lang w:val="en-GB"/>
              </w:rPr>
              <w:t>*</w:t>
            </w:r>
            <w:proofErr w:type="spellStart"/>
            <w:r w:rsidR="00D86D95">
              <w:rPr>
                <w:lang w:val="en-GB"/>
              </w:rPr>
              <w:t>Trifluoroacetic</w:t>
            </w:r>
            <w:proofErr w:type="spellEnd"/>
            <w:r w:rsidR="00D86D95">
              <w:rPr>
                <w:lang w:val="en-GB"/>
              </w:rPr>
              <w:t xml:space="preserve"> acid: 100</w:t>
            </w:r>
            <w:r w:rsidR="00AE0FE3" w:rsidRPr="00D976CA">
              <w:rPr>
                <w:lang w:val="en-GB"/>
              </w:rPr>
              <w:t xml:space="preserve">% (v/v) in water. </w:t>
            </w:r>
            <w:r w:rsidR="00AA64E8">
              <w:rPr>
                <w:lang w:val="en-GB"/>
              </w:rPr>
              <w:t>5</w:t>
            </w:r>
            <w:r w:rsidR="00AE0FE3" w:rsidRPr="00D976CA">
              <w:rPr>
                <w:rFonts w:cs="Arial"/>
                <w:lang w:val="en-GB"/>
              </w:rPr>
              <w:t xml:space="preserve"> </w:t>
            </w:r>
            <w:proofErr w:type="spellStart"/>
            <w:r w:rsidR="00AE0FE3" w:rsidRPr="00D976CA">
              <w:rPr>
                <w:rFonts w:cs="Arial"/>
                <w:lang w:val="en-GB"/>
              </w:rPr>
              <w:t>μl</w:t>
            </w:r>
            <w:proofErr w:type="spellEnd"/>
            <w:r w:rsidR="00AE0FE3" w:rsidRPr="00D976CA">
              <w:rPr>
                <w:lang w:val="en-GB"/>
              </w:rPr>
              <w:t>/sample</w:t>
            </w:r>
          </w:p>
          <w:p w:rsidR="000945DD" w:rsidRPr="00D976CA" w:rsidRDefault="000945DD" w:rsidP="000945DD">
            <w:pPr>
              <w:pStyle w:val="ListParagraph"/>
              <w:spacing w:after="0"/>
              <w:ind w:left="360"/>
              <w:rPr>
                <w:rFonts w:cs="Arial"/>
                <w:lang w:val="en-GB"/>
              </w:rPr>
            </w:pPr>
          </w:p>
          <w:p w:rsidR="005369AD" w:rsidRPr="00D976CA" w:rsidRDefault="005369AD" w:rsidP="000945DD">
            <w:pPr>
              <w:pStyle w:val="ListParagraph"/>
              <w:spacing w:after="0"/>
              <w:ind w:left="360"/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>*Prepare under fume hood</w:t>
            </w:r>
          </w:p>
        </w:tc>
      </w:tr>
    </w:tbl>
    <w:p w:rsidR="000622C0" w:rsidRDefault="000622C0">
      <w:r>
        <w:br w:type="page"/>
      </w:r>
    </w:p>
    <w:tbl>
      <w:tblPr>
        <w:tblpPr w:leftFromText="180" w:rightFromText="180" w:vertAnchor="page" w:horzAnchor="margin" w:tblpX="-252" w:tblpY="1441"/>
        <w:tblW w:w="52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9"/>
        <w:gridCol w:w="4860"/>
      </w:tblGrid>
      <w:tr w:rsidR="007A422C" w:rsidRPr="00D976CA" w:rsidTr="00EC52F0">
        <w:tc>
          <w:tcPr>
            <w:tcW w:w="2594" w:type="pct"/>
            <w:shd w:val="clear" w:color="auto" w:fill="auto"/>
          </w:tcPr>
          <w:p w:rsidR="004245D1" w:rsidRPr="00D976CA" w:rsidRDefault="004245D1" w:rsidP="00D310FB">
            <w:pPr>
              <w:spacing w:after="0"/>
              <w:rPr>
                <w:rFonts w:cs="Arial"/>
                <w:b/>
                <w:sz w:val="24"/>
                <w:lang w:val="en-GB"/>
              </w:rPr>
            </w:pPr>
            <w:r w:rsidRPr="00D976CA">
              <w:rPr>
                <w:rFonts w:cs="Arial"/>
                <w:b/>
                <w:sz w:val="24"/>
                <w:lang w:val="en-GB"/>
              </w:rPr>
              <w:lastRenderedPageBreak/>
              <w:t>Procedure</w:t>
            </w:r>
          </w:p>
        </w:tc>
        <w:tc>
          <w:tcPr>
            <w:tcW w:w="2406" w:type="pct"/>
            <w:shd w:val="clear" w:color="auto" w:fill="auto"/>
          </w:tcPr>
          <w:p w:rsidR="004245D1" w:rsidRPr="00D976CA" w:rsidRDefault="004245D1" w:rsidP="00FC7995">
            <w:pPr>
              <w:spacing w:after="0"/>
              <w:rPr>
                <w:rFonts w:cs="Arial"/>
                <w:b/>
                <w:sz w:val="24"/>
                <w:lang w:val="en-GB"/>
              </w:rPr>
            </w:pPr>
            <w:r w:rsidRPr="00D976CA">
              <w:rPr>
                <w:rFonts w:cs="Arial"/>
                <w:b/>
                <w:sz w:val="24"/>
                <w:lang w:val="en-GB"/>
              </w:rPr>
              <w:t>Comment</w:t>
            </w:r>
            <w:r w:rsidR="00FC7995" w:rsidRPr="00D976CA">
              <w:rPr>
                <w:rFonts w:cs="Arial"/>
                <w:b/>
                <w:sz w:val="24"/>
                <w:lang w:val="en-GB"/>
              </w:rPr>
              <w:t>s</w:t>
            </w:r>
          </w:p>
        </w:tc>
      </w:tr>
      <w:tr w:rsidR="00A746FE" w:rsidRPr="00D976CA" w:rsidTr="00EC52F0">
        <w:tc>
          <w:tcPr>
            <w:tcW w:w="2594" w:type="pct"/>
            <w:shd w:val="clear" w:color="auto" w:fill="auto"/>
          </w:tcPr>
          <w:p w:rsidR="00A746FE" w:rsidRPr="00D976CA" w:rsidRDefault="00D11051" w:rsidP="00193A23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>Perform protein digestion (e.g. vi</w:t>
            </w:r>
            <w:r w:rsidR="004F24F1" w:rsidRPr="00D976CA">
              <w:rPr>
                <w:rFonts w:cs="Arial"/>
                <w:lang w:val="en-GB"/>
              </w:rPr>
              <w:t xml:space="preserve">a FASP or in solution digestion). </w:t>
            </w:r>
          </w:p>
        </w:tc>
        <w:tc>
          <w:tcPr>
            <w:tcW w:w="2406" w:type="pct"/>
            <w:shd w:val="clear" w:color="auto" w:fill="auto"/>
          </w:tcPr>
          <w:p w:rsidR="00A746FE" w:rsidRPr="00D976CA" w:rsidRDefault="004F24F1" w:rsidP="005369AD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after="240"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976CA">
              <w:rPr>
                <w:rFonts w:asciiTheme="minorHAnsi" w:hAnsiTheme="minorHAnsi" w:cs="Arial"/>
                <w:b/>
                <w:sz w:val="22"/>
                <w:szCs w:val="22"/>
              </w:rPr>
              <w:t>Avoid the use of primary amine</w:t>
            </w:r>
            <w:r w:rsidR="005369AD" w:rsidRPr="00D976CA">
              <w:rPr>
                <w:rFonts w:asciiTheme="minorHAnsi" w:hAnsiTheme="minorHAnsi" w:cs="Arial"/>
                <w:b/>
                <w:sz w:val="22"/>
                <w:szCs w:val="22"/>
              </w:rPr>
              <w:t xml:space="preserve"> containing </w:t>
            </w:r>
            <w:r w:rsidR="005369AD" w:rsidRPr="004C6CFD">
              <w:rPr>
                <w:rFonts w:asciiTheme="minorHAnsi" w:hAnsiTheme="minorHAnsi" w:cs="Arial"/>
                <w:b/>
                <w:sz w:val="22"/>
                <w:szCs w:val="22"/>
              </w:rPr>
              <w:t xml:space="preserve">molecules </w:t>
            </w:r>
            <w:r w:rsidR="004C6CFD" w:rsidRPr="004C6CFD">
              <w:rPr>
                <w:rFonts w:asciiTheme="minorHAnsi" w:hAnsiTheme="minorHAnsi" w:cs="Arial"/>
                <w:b/>
                <w:sz w:val="22"/>
                <w:szCs w:val="22"/>
              </w:rPr>
              <w:t xml:space="preserve">upstream of </w:t>
            </w:r>
            <w:proofErr w:type="spellStart"/>
            <w:r w:rsidR="004C6CFD" w:rsidRPr="004C6CFD">
              <w:rPr>
                <w:rFonts w:asciiTheme="minorHAnsi" w:hAnsiTheme="minorHAnsi" w:cs="Arial"/>
                <w:b/>
                <w:sz w:val="22"/>
                <w:szCs w:val="22"/>
              </w:rPr>
              <w:t>dimethyl</w:t>
            </w:r>
            <w:proofErr w:type="spellEnd"/>
            <w:r w:rsidR="004C6CFD" w:rsidRPr="004C6CFD">
              <w:rPr>
                <w:rFonts w:asciiTheme="minorHAnsi" w:hAnsiTheme="minorHAnsi" w:cs="Arial"/>
                <w:b/>
                <w:sz w:val="22"/>
                <w:szCs w:val="22"/>
              </w:rPr>
              <w:t xml:space="preserve"> labelling</w:t>
            </w:r>
            <w:r w:rsidR="004C6CF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5369AD" w:rsidRPr="00D976CA">
              <w:rPr>
                <w:rFonts w:asciiTheme="minorHAnsi" w:hAnsiTheme="minorHAnsi" w:cs="Arial"/>
                <w:sz w:val="22"/>
                <w:szCs w:val="22"/>
              </w:rPr>
              <w:t xml:space="preserve">to maximize </w:t>
            </w:r>
            <w:r w:rsidR="00FE089F" w:rsidRPr="00D976CA">
              <w:rPr>
                <w:rFonts w:asciiTheme="minorHAnsi" w:hAnsiTheme="minorHAnsi" w:cs="Arial"/>
                <w:sz w:val="22"/>
                <w:szCs w:val="22"/>
              </w:rPr>
              <w:t>labell</w:t>
            </w:r>
            <w:r w:rsidR="005369AD" w:rsidRPr="00D976CA">
              <w:rPr>
                <w:rFonts w:asciiTheme="minorHAnsi" w:hAnsiTheme="minorHAnsi" w:cs="Arial"/>
                <w:sz w:val="22"/>
                <w:szCs w:val="22"/>
              </w:rPr>
              <w:t xml:space="preserve">ing efficiency (e.g. </w:t>
            </w:r>
            <w:r w:rsidR="004C6CFD">
              <w:rPr>
                <w:rFonts w:asciiTheme="minorHAnsi" w:hAnsiTheme="minorHAnsi" w:cs="Arial"/>
                <w:sz w:val="22"/>
                <w:szCs w:val="22"/>
              </w:rPr>
              <w:t>i</w:t>
            </w:r>
            <w:r w:rsidRPr="00D976CA">
              <w:rPr>
                <w:rFonts w:asciiTheme="minorHAnsi" w:hAnsiTheme="minorHAnsi" w:cs="Arial"/>
                <w:sz w:val="22"/>
                <w:szCs w:val="22"/>
              </w:rPr>
              <w:t>n steps involving ammonium bicarbonate, use</w:t>
            </w:r>
            <w:r w:rsidR="005369AD" w:rsidRPr="00D976CA">
              <w:rPr>
                <w:rFonts w:asciiTheme="minorHAnsi" w:hAnsiTheme="minorHAnsi" w:cs="Arial"/>
                <w:sz w:val="22"/>
                <w:szCs w:val="22"/>
              </w:rPr>
              <w:t xml:space="preserve"> TEAB instead)</w:t>
            </w:r>
          </w:p>
        </w:tc>
      </w:tr>
      <w:tr w:rsidR="00F42061" w:rsidRPr="00D976CA" w:rsidTr="00EC52F0">
        <w:tc>
          <w:tcPr>
            <w:tcW w:w="2594" w:type="pct"/>
            <w:shd w:val="clear" w:color="auto" w:fill="auto"/>
          </w:tcPr>
          <w:p w:rsidR="000C5A02" w:rsidRPr="00D976CA" w:rsidRDefault="005369AD" w:rsidP="005369AD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 xml:space="preserve">Determine the concentration of proteins in each sample. The in solution protocol is optimized for </w:t>
            </w:r>
            <w:r w:rsidRPr="00D976CA">
              <w:rPr>
                <w:rFonts w:cs="Arial"/>
                <w:b/>
                <w:lang w:val="en-GB"/>
              </w:rPr>
              <w:t xml:space="preserve">up to 25 </w:t>
            </w:r>
            <w:proofErr w:type="spellStart"/>
            <w:r w:rsidRPr="00D976CA">
              <w:rPr>
                <w:rFonts w:cs="Arial"/>
                <w:b/>
                <w:lang w:val="en-GB"/>
              </w:rPr>
              <w:t>μg</w:t>
            </w:r>
            <w:proofErr w:type="spellEnd"/>
            <w:r w:rsidRPr="00D976CA">
              <w:rPr>
                <w:rFonts w:cs="Arial"/>
                <w:b/>
                <w:lang w:val="en-GB"/>
              </w:rPr>
              <w:t xml:space="preserve"> of protein</w:t>
            </w:r>
            <w:r w:rsidRPr="00D976CA">
              <w:rPr>
                <w:rFonts w:cs="Arial"/>
                <w:lang w:val="en-GB"/>
              </w:rPr>
              <w:t xml:space="preserve"> per </w:t>
            </w:r>
            <w:r w:rsidR="00FE089F" w:rsidRPr="00D976CA">
              <w:rPr>
                <w:rFonts w:cs="Arial"/>
                <w:lang w:val="en-GB"/>
              </w:rPr>
              <w:t>label</w:t>
            </w:r>
            <w:r w:rsidRPr="00D976CA">
              <w:rPr>
                <w:rFonts w:cs="Arial"/>
                <w:lang w:val="en-GB"/>
              </w:rPr>
              <w:t>.</w:t>
            </w:r>
          </w:p>
        </w:tc>
        <w:tc>
          <w:tcPr>
            <w:tcW w:w="2406" w:type="pct"/>
            <w:shd w:val="clear" w:color="auto" w:fill="auto"/>
          </w:tcPr>
          <w:p w:rsidR="00F479DC" w:rsidRPr="00D976CA" w:rsidRDefault="00F479DC" w:rsidP="00FE089F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42061" w:rsidRPr="00D976CA" w:rsidTr="00EC52F0">
        <w:tc>
          <w:tcPr>
            <w:tcW w:w="2594" w:type="pct"/>
            <w:shd w:val="clear" w:color="auto" w:fill="auto"/>
          </w:tcPr>
          <w:p w:rsidR="00490089" w:rsidRPr="00D976CA" w:rsidRDefault="005369AD" w:rsidP="00F77235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 xml:space="preserve">Reconstitute the digested samples in </w:t>
            </w:r>
            <w:r w:rsidRPr="00D976CA">
              <w:rPr>
                <w:lang w:val="en-GB"/>
              </w:rPr>
              <w:t>100</w:t>
            </w:r>
            <w:r w:rsidRPr="00D976CA">
              <w:rPr>
                <w:rFonts w:cs="Arial"/>
                <w:lang w:val="en-GB"/>
              </w:rPr>
              <w:t xml:space="preserve"> </w:t>
            </w:r>
            <w:proofErr w:type="spellStart"/>
            <w:r w:rsidRPr="00D976CA">
              <w:rPr>
                <w:rFonts w:cs="Arial"/>
                <w:lang w:val="en-GB"/>
              </w:rPr>
              <w:t>μl</w:t>
            </w:r>
            <w:proofErr w:type="spellEnd"/>
            <w:r w:rsidRPr="00D976CA">
              <w:rPr>
                <w:rFonts w:cs="Arial"/>
                <w:lang w:val="en-GB"/>
              </w:rPr>
              <w:t xml:space="preserve"> TEAB</w:t>
            </w:r>
          </w:p>
        </w:tc>
        <w:tc>
          <w:tcPr>
            <w:tcW w:w="2406" w:type="pct"/>
            <w:shd w:val="clear" w:color="auto" w:fill="auto"/>
          </w:tcPr>
          <w:p w:rsidR="00010BED" w:rsidRPr="00D976CA" w:rsidRDefault="00010BED" w:rsidP="00FE089F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3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C557F" w:rsidRPr="00D976CA" w:rsidTr="00EC52F0">
        <w:tc>
          <w:tcPr>
            <w:tcW w:w="2594" w:type="pct"/>
            <w:shd w:val="clear" w:color="auto" w:fill="auto"/>
          </w:tcPr>
          <w:p w:rsidR="007E5CEA" w:rsidRDefault="005369AD" w:rsidP="00223781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 xml:space="preserve">Add 4 </w:t>
            </w:r>
            <w:proofErr w:type="spellStart"/>
            <w:r w:rsidRPr="00D976CA">
              <w:rPr>
                <w:rFonts w:cs="Arial"/>
                <w:lang w:val="en-GB"/>
              </w:rPr>
              <w:t>μl</w:t>
            </w:r>
            <w:proofErr w:type="spellEnd"/>
            <w:r w:rsidRPr="00D976CA">
              <w:rPr>
                <w:rFonts w:cs="Arial"/>
                <w:lang w:val="en-GB"/>
              </w:rPr>
              <w:t xml:space="preserve"> of 4%  </w:t>
            </w:r>
          </w:p>
          <w:p w:rsidR="007E5CEA" w:rsidRPr="00C43966" w:rsidRDefault="005369AD" w:rsidP="00C43966">
            <w:pPr>
              <w:pStyle w:val="ListParagraph"/>
              <w:numPr>
                <w:ilvl w:val="1"/>
                <w:numId w:val="11"/>
              </w:numPr>
              <w:rPr>
                <w:rFonts w:cs="Arial"/>
                <w:b/>
                <w:lang w:val="en-GB"/>
              </w:rPr>
            </w:pPr>
            <w:r w:rsidRPr="00C43966">
              <w:rPr>
                <w:rFonts w:cs="Arial"/>
                <w:b/>
                <w:lang w:val="en-GB"/>
              </w:rPr>
              <w:t>CH</w:t>
            </w:r>
            <w:r w:rsidRPr="00C43966">
              <w:rPr>
                <w:rFonts w:cs="Arial"/>
                <w:b/>
                <w:vertAlign w:val="subscript"/>
                <w:lang w:val="en-GB"/>
              </w:rPr>
              <w:t>2</w:t>
            </w:r>
            <w:r w:rsidR="00C43966" w:rsidRPr="00C43966">
              <w:rPr>
                <w:rFonts w:cs="Arial"/>
                <w:b/>
                <w:lang w:val="en-GB"/>
              </w:rPr>
              <w:t xml:space="preserve">O: light </w:t>
            </w:r>
            <w:r w:rsidR="00C43966" w:rsidRPr="00447D6C">
              <w:rPr>
                <w:rFonts w:cs="Arial"/>
                <w:lang w:val="en-GB"/>
              </w:rPr>
              <w:t>labelling</w:t>
            </w:r>
          </w:p>
          <w:p w:rsidR="007E5CEA" w:rsidRPr="00C43966" w:rsidRDefault="005369AD" w:rsidP="00C43966">
            <w:pPr>
              <w:pStyle w:val="ListParagraph"/>
              <w:numPr>
                <w:ilvl w:val="1"/>
                <w:numId w:val="11"/>
              </w:numPr>
              <w:rPr>
                <w:rFonts w:cs="Arial"/>
                <w:b/>
                <w:lang w:val="en-GB"/>
              </w:rPr>
            </w:pPr>
            <w:r w:rsidRPr="00C43966">
              <w:rPr>
                <w:rFonts w:cs="Arial"/>
                <w:b/>
                <w:lang w:val="en-GB"/>
              </w:rPr>
              <w:t>CD</w:t>
            </w:r>
            <w:r w:rsidRPr="00C43966">
              <w:rPr>
                <w:rFonts w:cs="Arial"/>
                <w:b/>
                <w:vertAlign w:val="subscript"/>
                <w:lang w:val="en-GB"/>
              </w:rPr>
              <w:t>2</w:t>
            </w:r>
            <w:r w:rsidR="007E5CEA" w:rsidRPr="00C43966">
              <w:rPr>
                <w:rFonts w:cs="Arial"/>
                <w:b/>
                <w:lang w:val="en-GB"/>
              </w:rPr>
              <w:t>O</w:t>
            </w:r>
            <w:r w:rsidR="00C43966" w:rsidRPr="00C43966">
              <w:rPr>
                <w:rFonts w:cs="Arial"/>
                <w:b/>
                <w:lang w:val="en-GB"/>
              </w:rPr>
              <w:t>:</w:t>
            </w:r>
            <w:r w:rsidR="007E5CEA" w:rsidRPr="00C43966">
              <w:rPr>
                <w:rFonts w:cs="Arial"/>
                <w:b/>
                <w:lang w:val="en-GB"/>
              </w:rPr>
              <w:t xml:space="preserve"> </w:t>
            </w:r>
            <w:r w:rsidR="00C43966" w:rsidRPr="00C43966">
              <w:rPr>
                <w:rFonts w:cs="Arial"/>
                <w:b/>
                <w:lang w:val="en-GB"/>
              </w:rPr>
              <w:t xml:space="preserve">medium </w:t>
            </w:r>
            <w:r w:rsidR="00C43966" w:rsidRPr="00447D6C">
              <w:rPr>
                <w:rFonts w:cs="Arial"/>
                <w:lang w:val="en-GB"/>
              </w:rPr>
              <w:t>labelling</w:t>
            </w:r>
          </w:p>
          <w:p w:rsidR="002C557F" w:rsidRPr="00C43966" w:rsidRDefault="005369AD" w:rsidP="00C43966">
            <w:pPr>
              <w:pStyle w:val="ListParagraph"/>
              <w:numPr>
                <w:ilvl w:val="1"/>
                <w:numId w:val="11"/>
              </w:numPr>
              <w:rPr>
                <w:rFonts w:cs="Arial"/>
                <w:b/>
                <w:lang w:val="en-GB"/>
              </w:rPr>
            </w:pPr>
            <w:r w:rsidRPr="00C43966">
              <w:rPr>
                <w:rFonts w:cs="Arial"/>
                <w:b/>
                <w:vertAlign w:val="superscript"/>
                <w:lang w:val="en-GB"/>
              </w:rPr>
              <w:t>13</w:t>
            </w:r>
            <w:r w:rsidRPr="00C43966">
              <w:rPr>
                <w:rFonts w:cs="Arial"/>
                <w:b/>
                <w:lang w:val="en-GB"/>
              </w:rPr>
              <w:t>CD</w:t>
            </w:r>
            <w:r w:rsidRPr="00C43966">
              <w:rPr>
                <w:rFonts w:cs="Arial"/>
                <w:b/>
                <w:vertAlign w:val="subscript"/>
                <w:lang w:val="en-GB"/>
              </w:rPr>
              <w:t>2</w:t>
            </w:r>
            <w:r w:rsidRPr="00C43966">
              <w:rPr>
                <w:rFonts w:cs="Arial"/>
                <w:b/>
                <w:lang w:val="en-GB"/>
              </w:rPr>
              <w:t>O</w:t>
            </w:r>
            <w:r w:rsidR="00C43966" w:rsidRPr="00C43966">
              <w:rPr>
                <w:rFonts w:cs="Arial"/>
                <w:b/>
                <w:lang w:val="en-GB"/>
              </w:rPr>
              <w:t>:</w:t>
            </w:r>
            <w:r w:rsidR="00FE089F" w:rsidRPr="00C43966">
              <w:rPr>
                <w:rFonts w:cs="Arial"/>
                <w:b/>
                <w:lang w:val="en-GB"/>
              </w:rPr>
              <w:t xml:space="preserve"> heavy </w:t>
            </w:r>
            <w:r w:rsidR="00FE089F" w:rsidRPr="00447D6C">
              <w:rPr>
                <w:rFonts w:cs="Arial"/>
                <w:lang w:val="en-GB"/>
              </w:rPr>
              <w:t>labelling</w:t>
            </w:r>
            <w:r w:rsidR="00FE089F" w:rsidRPr="00C43966">
              <w:rPr>
                <w:rFonts w:cs="Arial"/>
                <w:b/>
                <w:lang w:val="en-GB"/>
              </w:rPr>
              <w:t xml:space="preserve"> </w:t>
            </w:r>
          </w:p>
          <w:p w:rsidR="00FE089F" w:rsidRDefault="00FE089F" w:rsidP="00223781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>Vortex and quickly spin down</w:t>
            </w:r>
          </w:p>
          <w:p w:rsidR="002D772D" w:rsidRDefault="006C3B35" w:rsidP="006C3B35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 xml:space="preserve">Add 4 </w:t>
            </w:r>
            <w:proofErr w:type="spellStart"/>
            <w:r w:rsidRPr="00D976CA">
              <w:rPr>
                <w:rFonts w:cs="Arial"/>
                <w:lang w:val="en-GB"/>
              </w:rPr>
              <w:t>μl</w:t>
            </w:r>
            <w:proofErr w:type="spellEnd"/>
            <w:r w:rsidRPr="00D976CA">
              <w:rPr>
                <w:rFonts w:cs="Arial"/>
                <w:lang w:val="en-GB"/>
              </w:rPr>
              <w:t xml:space="preserve"> of 0.6M </w:t>
            </w:r>
          </w:p>
          <w:p w:rsidR="002D772D" w:rsidRDefault="006C3B35" w:rsidP="002D772D">
            <w:pPr>
              <w:pStyle w:val="ListParagraph"/>
              <w:numPr>
                <w:ilvl w:val="1"/>
                <w:numId w:val="11"/>
              </w:numPr>
              <w:rPr>
                <w:rFonts w:cs="Arial"/>
                <w:lang w:val="en-GB"/>
              </w:rPr>
            </w:pPr>
            <w:r w:rsidRPr="00D976CA">
              <w:rPr>
                <w:rFonts w:cs="Arial"/>
                <w:b/>
                <w:lang w:val="en-GB"/>
              </w:rPr>
              <w:t>NaBH</w:t>
            </w:r>
            <w:r w:rsidRPr="00D976CA">
              <w:rPr>
                <w:rFonts w:cs="Arial"/>
                <w:b/>
                <w:vertAlign w:val="subscript"/>
                <w:lang w:val="en-GB"/>
              </w:rPr>
              <w:t>3</w:t>
            </w:r>
            <w:r w:rsidR="007E5CEA">
              <w:rPr>
                <w:rFonts w:cs="Arial"/>
                <w:b/>
                <w:lang w:val="en-GB"/>
              </w:rPr>
              <w:t xml:space="preserve">CN: </w:t>
            </w:r>
            <w:r w:rsidRPr="00D976CA">
              <w:rPr>
                <w:rFonts w:cs="Arial"/>
                <w:b/>
                <w:lang w:val="en-GB"/>
              </w:rPr>
              <w:t>light/</w:t>
            </w:r>
            <w:r w:rsidR="009A041A">
              <w:rPr>
                <w:rFonts w:cs="Arial"/>
                <w:b/>
                <w:lang w:val="en-GB"/>
              </w:rPr>
              <w:t>medium</w:t>
            </w:r>
            <w:r w:rsidRPr="00D976CA">
              <w:rPr>
                <w:rFonts w:cs="Arial"/>
                <w:b/>
                <w:lang w:val="en-GB"/>
              </w:rPr>
              <w:t xml:space="preserve"> </w:t>
            </w:r>
            <w:r w:rsidRPr="00D976CA">
              <w:rPr>
                <w:rFonts w:cs="Arial"/>
                <w:lang w:val="en-GB"/>
              </w:rPr>
              <w:t xml:space="preserve">labelling </w:t>
            </w:r>
          </w:p>
          <w:p w:rsidR="006C3B35" w:rsidRDefault="006C3B35" w:rsidP="002D772D">
            <w:pPr>
              <w:pStyle w:val="ListParagraph"/>
              <w:numPr>
                <w:ilvl w:val="1"/>
                <w:numId w:val="11"/>
              </w:numPr>
              <w:rPr>
                <w:rFonts w:cs="Arial"/>
                <w:lang w:val="en-GB"/>
              </w:rPr>
            </w:pPr>
            <w:r w:rsidRPr="00D976CA">
              <w:rPr>
                <w:rFonts w:cs="Arial"/>
                <w:b/>
                <w:lang w:val="en-GB"/>
              </w:rPr>
              <w:t>NaBD</w:t>
            </w:r>
            <w:r w:rsidRPr="00D976CA">
              <w:rPr>
                <w:rFonts w:cs="Arial"/>
                <w:b/>
                <w:vertAlign w:val="subscript"/>
                <w:lang w:val="en-GB"/>
              </w:rPr>
              <w:t>3</w:t>
            </w:r>
            <w:r w:rsidR="007E5CEA">
              <w:rPr>
                <w:rFonts w:cs="Arial"/>
                <w:b/>
                <w:lang w:val="en-GB"/>
              </w:rPr>
              <w:t xml:space="preserve">CN: </w:t>
            </w:r>
            <w:r w:rsidRPr="00D976CA">
              <w:rPr>
                <w:rFonts w:cs="Arial"/>
                <w:b/>
                <w:lang w:val="en-GB"/>
              </w:rPr>
              <w:t xml:space="preserve">heavy </w:t>
            </w:r>
            <w:r w:rsidRPr="00D976CA">
              <w:rPr>
                <w:rFonts w:cs="Arial"/>
                <w:lang w:val="en-GB"/>
              </w:rPr>
              <w:t>labelling</w:t>
            </w:r>
          </w:p>
          <w:p w:rsidR="006C3B35" w:rsidRPr="00D976CA" w:rsidRDefault="006C3B35" w:rsidP="006C3B35">
            <w:pPr>
              <w:pStyle w:val="ListParagraph"/>
              <w:numPr>
                <w:ilvl w:val="0"/>
                <w:numId w:val="1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Incubate at room temperature for 1 h while shaking</w:t>
            </w:r>
          </w:p>
        </w:tc>
        <w:tc>
          <w:tcPr>
            <w:tcW w:w="2406" w:type="pct"/>
            <w:shd w:val="clear" w:color="auto" w:fill="auto"/>
          </w:tcPr>
          <w:p w:rsidR="002C557F" w:rsidRDefault="00FE089F" w:rsidP="00FE089F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976CA">
              <w:rPr>
                <w:rFonts w:asciiTheme="minorHAnsi" w:hAnsiTheme="minorHAnsi" w:cs="Arial"/>
                <w:sz w:val="22"/>
                <w:szCs w:val="22"/>
              </w:rPr>
              <w:t xml:space="preserve">Perform </w:t>
            </w:r>
            <w:r w:rsidR="00A339B6">
              <w:rPr>
                <w:rFonts w:asciiTheme="minorHAnsi" w:hAnsiTheme="minorHAnsi" w:cs="Arial"/>
                <w:sz w:val="22"/>
                <w:szCs w:val="22"/>
              </w:rPr>
              <w:t xml:space="preserve">all subsequent steps </w:t>
            </w:r>
            <w:r w:rsidRPr="00D976CA">
              <w:rPr>
                <w:rFonts w:asciiTheme="minorHAnsi" w:hAnsiTheme="minorHAnsi" w:cs="Arial"/>
                <w:sz w:val="22"/>
                <w:szCs w:val="22"/>
              </w:rPr>
              <w:t>under fume hood</w:t>
            </w:r>
          </w:p>
          <w:p w:rsidR="006C3B35" w:rsidRDefault="006C3B35" w:rsidP="006C3B35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:rsidR="00BF57F1" w:rsidRDefault="00BF57F1" w:rsidP="00BF57F1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:rsidR="00BF57F1" w:rsidRDefault="00BF57F1" w:rsidP="00BF57F1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:rsidR="00FF247B" w:rsidRDefault="00FF247B" w:rsidP="00FF247B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:rsidR="006C3B35" w:rsidRPr="00A339B6" w:rsidRDefault="006C3B35" w:rsidP="006C3B35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A339B6">
              <w:rPr>
                <w:rFonts w:asciiTheme="minorHAnsi" w:hAnsiTheme="minorHAnsi" w:cs="Arial"/>
                <w:sz w:val="22"/>
                <w:szCs w:val="22"/>
              </w:rPr>
              <w:t>Initiation of labelling reaction</w:t>
            </w:r>
          </w:p>
          <w:p w:rsidR="006C3B35" w:rsidRPr="00D976CA" w:rsidRDefault="006C3B35" w:rsidP="006C3B35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622C0" w:rsidRPr="00D976CA" w:rsidTr="00EC52F0">
        <w:tc>
          <w:tcPr>
            <w:tcW w:w="2594" w:type="pct"/>
            <w:shd w:val="clear" w:color="auto" w:fill="auto"/>
          </w:tcPr>
          <w:p w:rsidR="000622C0" w:rsidRDefault="000622C0" w:rsidP="000622C0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Add </w:t>
            </w:r>
            <w:r w:rsidRPr="00D976CA">
              <w:rPr>
                <w:rFonts w:cs="Arial"/>
                <w:lang w:val="en-GB"/>
              </w:rPr>
              <w:t xml:space="preserve">16 </w:t>
            </w:r>
            <w:proofErr w:type="spellStart"/>
            <w:r w:rsidRPr="00D976CA">
              <w:rPr>
                <w:rFonts w:cs="Arial"/>
                <w:lang w:val="en-GB"/>
              </w:rPr>
              <w:t>μl</w:t>
            </w:r>
            <w:proofErr w:type="spellEnd"/>
            <w:r>
              <w:rPr>
                <w:rFonts w:cs="Arial"/>
                <w:lang w:val="en-GB"/>
              </w:rPr>
              <w:t xml:space="preserve"> of 1% ammonia to stop the reaction</w:t>
            </w:r>
          </w:p>
          <w:p w:rsidR="000622C0" w:rsidRDefault="000622C0" w:rsidP="000622C0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Arial"/>
                <w:lang w:val="en-GB"/>
              </w:rPr>
            </w:pPr>
            <w:r w:rsidRPr="00D976CA">
              <w:rPr>
                <w:rFonts w:cs="Arial"/>
                <w:lang w:val="en-GB"/>
              </w:rPr>
              <w:t>Vortex and quickly spin down</w:t>
            </w:r>
          </w:p>
          <w:p w:rsidR="000622C0" w:rsidRDefault="000622C0" w:rsidP="000622C0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Mix the differentially labelled sample pairs</w:t>
            </w:r>
          </w:p>
          <w:p w:rsidR="000622C0" w:rsidRPr="00D976CA" w:rsidRDefault="000622C0" w:rsidP="000622C0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Add 5</w:t>
            </w:r>
            <w:r w:rsidRPr="00D976CA">
              <w:rPr>
                <w:rFonts w:cs="Arial"/>
                <w:lang w:val="en-GB"/>
              </w:rPr>
              <w:t xml:space="preserve"> </w:t>
            </w:r>
            <w:proofErr w:type="spellStart"/>
            <w:r w:rsidRPr="00D976CA">
              <w:rPr>
                <w:rFonts w:cs="Arial"/>
                <w:lang w:val="en-GB"/>
              </w:rPr>
              <w:t>μl</w:t>
            </w:r>
            <w:proofErr w:type="spellEnd"/>
            <w:r>
              <w:rPr>
                <w:rFonts w:cs="Arial"/>
                <w:lang w:val="en-GB"/>
              </w:rPr>
              <w:t xml:space="preserve"> of 100% TFA</w:t>
            </w:r>
          </w:p>
        </w:tc>
        <w:tc>
          <w:tcPr>
            <w:tcW w:w="2406" w:type="pct"/>
            <w:shd w:val="clear" w:color="auto" w:fill="auto"/>
          </w:tcPr>
          <w:p w:rsidR="000622C0" w:rsidRPr="00D976CA" w:rsidRDefault="000622C0" w:rsidP="000622C0">
            <w:pPr>
              <w:pStyle w:val="prottext"/>
              <w:numPr>
                <w:ilvl w:val="0"/>
                <w:numId w:val="10"/>
              </w:numPr>
              <w:pBdr>
                <w:left w:val="none" w:sz="0" w:space="0" w:color="auto"/>
                <w:right w:val="none" w:sz="0" w:space="0" w:color="auto"/>
              </w:pBd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Formaldehyde/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cyanoborohydride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reacts with primary amines. The addition of ammonia, a primary amine, quenches the reaction</w:t>
            </w:r>
          </w:p>
        </w:tc>
      </w:tr>
      <w:tr w:rsidR="000622C0" w:rsidRPr="00D976CA" w:rsidTr="00EC52F0">
        <w:tc>
          <w:tcPr>
            <w:tcW w:w="2594" w:type="pct"/>
            <w:shd w:val="clear" w:color="auto" w:fill="auto"/>
          </w:tcPr>
          <w:p w:rsidR="000622C0" w:rsidRPr="00D976CA" w:rsidRDefault="000622C0" w:rsidP="000622C0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Load and elute samples on stage tips and analyse by LC-MS</w:t>
            </w:r>
          </w:p>
        </w:tc>
        <w:tc>
          <w:tcPr>
            <w:tcW w:w="2406" w:type="pct"/>
            <w:shd w:val="clear" w:color="auto" w:fill="auto"/>
          </w:tcPr>
          <w:p w:rsidR="000622C0" w:rsidRPr="00D976CA" w:rsidRDefault="000622C0" w:rsidP="000622C0">
            <w:pPr>
              <w:pStyle w:val="prottext"/>
              <w:pBdr>
                <w:left w:val="none" w:sz="0" w:space="0" w:color="auto"/>
                <w:right w:val="none" w:sz="0" w:space="0" w:color="auto"/>
              </w:pBdr>
              <w:spacing w:line="276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4245D1" w:rsidRPr="00D976CA" w:rsidRDefault="004245D1" w:rsidP="004245D1">
      <w:pPr>
        <w:spacing w:after="0"/>
        <w:rPr>
          <w:lang w:val="en-GB"/>
        </w:rPr>
      </w:pPr>
    </w:p>
    <w:p w:rsidR="004245D1" w:rsidRPr="00D976CA" w:rsidRDefault="004245D1" w:rsidP="004245D1">
      <w:pPr>
        <w:spacing w:after="0"/>
        <w:rPr>
          <w:lang w:val="en-GB"/>
        </w:rPr>
      </w:pPr>
    </w:p>
    <w:p w:rsidR="004245D1" w:rsidRPr="00D976CA" w:rsidRDefault="004245D1" w:rsidP="004245D1">
      <w:pPr>
        <w:tabs>
          <w:tab w:val="left" w:pos="3405"/>
        </w:tabs>
        <w:rPr>
          <w:lang w:val="en-GB"/>
        </w:rPr>
      </w:pPr>
      <w:r w:rsidRPr="00D976CA">
        <w:rPr>
          <w:lang w:val="en-GB"/>
        </w:rPr>
        <w:tab/>
      </w:r>
    </w:p>
    <w:sectPr w:rsidR="004245D1" w:rsidRPr="00D976CA" w:rsidSect="00E43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C0B"/>
    <w:multiLevelType w:val="hybridMultilevel"/>
    <w:tmpl w:val="F8104256"/>
    <w:lvl w:ilvl="0" w:tplc="AA9246B6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25FA9"/>
    <w:multiLevelType w:val="hybridMultilevel"/>
    <w:tmpl w:val="4950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E050E"/>
    <w:multiLevelType w:val="hybridMultilevel"/>
    <w:tmpl w:val="90220E9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FB1D2A"/>
    <w:multiLevelType w:val="hybridMultilevel"/>
    <w:tmpl w:val="960CC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8774E0"/>
    <w:multiLevelType w:val="hybridMultilevel"/>
    <w:tmpl w:val="FB6E4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33E98"/>
    <w:multiLevelType w:val="hybridMultilevel"/>
    <w:tmpl w:val="64243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A30736"/>
    <w:multiLevelType w:val="hybridMultilevel"/>
    <w:tmpl w:val="9B4C2B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F25F55"/>
    <w:multiLevelType w:val="hybridMultilevel"/>
    <w:tmpl w:val="CB6ED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192079"/>
    <w:multiLevelType w:val="hybridMultilevel"/>
    <w:tmpl w:val="FB4E8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144418"/>
    <w:multiLevelType w:val="hybridMultilevel"/>
    <w:tmpl w:val="429A7F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914578"/>
    <w:multiLevelType w:val="hybridMultilevel"/>
    <w:tmpl w:val="96F47A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5C0AE8"/>
    <w:multiLevelType w:val="hybridMultilevel"/>
    <w:tmpl w:val="D7241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4245D1"/>
    <w:rsid w:val="00010BED"/>
    <w:rsid w:val="00031B45"/>
    <w:rsid w:val="00034B21"/>
    <w:rsid w:val="000622C0"/>
    <w:rsid w:val="00092B48"/>
    <w:rsid w:val="000945DD"/>
    <w:rsid w:val="000A66FB"/>
    <w:rsid w:val="000C0A12"/>
    <w:rsid w:val="000C5A02"/>
    <w:rsid w:val="00114C86"/>
    <w:rsid w:val="001500CE"/>
    <w:rsid w:val="00153DF4"/>
    <w:rsid w:val="00193A23"/>
    <w:rsid w:val="001F0129"/>
    <w:rsid w:val="002045E1"/>
    <w:rsid w:val="00213B68"/>
    <w:rsid w:val="00215BB4"/>
    <w:rsid w:val="00223781"/>
    <w:rsid w:val="002454A3"/>
    <w:rsid w:val="0026636C"/>
    <w:rsid w:val="002708C9"/>
    <w:rsid w:val="00271645"/>
    <w:rsid w:val="002B3F8E"/>
    <w:rsid w:val="002C557F"/>
    <w:rsid w:val="002D772D"/>
    <w:rsid w:val="003171DE"/>
    <w:rsid w:val="003213F0"/>
    <w:rsid w:val="00322474"/>
    <w:rsid w:val="00330561"/>
    <w:rsid w:val="00334325"/>
    <w:rsid w:val="003605BC"/>
    <w:rsid w:val="003A2203"/>
    <w:rsid w:val="00412D71"/>
    <w:rsid w:val="004245D1"/>
    <w:rsid w:val="004363F1"/>
    <w:rsid w:val="00447D6C"/>
    <w:rsid w:val="00454C03"/>
    <w:rsid w:val="00490089"/>
    <w:rsid w:val="004C6CFD"/>
    <w:rsid w:val="004E62F5"/>
    <w:rsid w:val="004F24F1"/>
    <w:rsid w:val="0051358C"/>
    <w:rsid w:val="00520FF0"/>
    <w:rsid w:val="00524CD9"/>
    <w:rsid w:val="005369AD"/>
    <w:rsid w:val="005752AE"/>
    <w:rsid w:val="005A4804"/>
    <w:rsid w:val="005B17D5"/>
    <w:rsid w:val="0065056A"/>
    <w:rsid w:val="00680538"/>
    <w:rsid w:val="00680A0F"/>
    <w:rsid w:val="006C3B35"/>
    <w:rsid w:val="00701121"/>
    <w:rsid w:val="007A422C"/>
    <w:rsid w:val="007E5CEA"/>
    <w:rsid w:val="00806FF6"/>
    <w:rsid w:val="0081470C"/>
    <w:rsid w:val="0085275B"/>
    <w:rsid w:val="008B540D"/>
    <w:rsid w:val="008C5867"/>
    <w:rsid w:val="008C6F0D"/>
    <w:rsid w:val="008D4972"/>
    <w:rsid w:val="008F6252"/>
    <w:rsid w:val="0090768D"/>
    <w:rsid w:val="00960C73"/>
    <w:rsid w:val="009A041A"/>
    <w:rsid w:val="009B4555"/>
    <w:rsid w:val="009E790A"/>
    <w:rsid w:val="009F5B67"/>
    <w:rsid w:val="00A1576F"/>
    <w:rsid w:val="00A230C1"/>
    <w:rsid w:val="00A27BE6"/>
    <w:rsid w:val="00A339B6"/>
    <w:rsid w:val="00A70DDC"/>
    <w:rsid w:val="00A746FE"/>
    <w:rsid w:val="00A85090"/>
    <w:rsid w:val="00A90D16"/>
    <w:rsid w:val="00AA64E8"/>
    <w:rsid w:val="00AE0FE3"/>
    <w:rsid w:val="00B4587B"/>
    <w:rsid w:val="00BC19AC"/>
    <w:rsid w:val="00BE66D8"/>
    <w:rsid w:val="00BF57F1"/>
    <w:rsid w:val="00C00C89"/>
    <w:rsid w:val="00C22287"/>
    <w:rsid w:val="00C43966"/>
    <w:rsid w:val="00C466B7"/>
    <w:rsid w:val="00C514FD"/>
    <w:rsid w:val="00C66BA1"/>
    <w:rsid w:val="00CE03C0"/>
    <w:rsid w:val="00CF76B4"/>
    <w:rsid w:val="00D108AC"/>
    <w:rsid w:val="00D11051"/>
    <w:rsid w:val="00D21989"/>
    <w:rsid w:val="00D310FB"/>
    <w:rsid w:val="00D3505B"/>
    <w:rsid w:val="00D65DFE"/>
    <w:rsid w:val="00D753B1"/>
    <w:rsid w:val="00D75E41"/>
    <w:rsid w:val="00D86D95"/>
    <w:rsid w:val="00D976CA"/>
    <w:rsid w:val="00DF1DD7"/>
    <w:rsid w:val="00E160EB"/>
    <w:rsid w:val="00E33384"/>
    <w:rsid w:val="00E439DC"/>
    <w:rsid w:val="00EC52F0"/>
    <w:rsid w:val="00ED6CA5"/>
    <w:rsid w:val="00F0659C"/>
    <w:rsid w:val="00F42061"/>
    <w:rsid w:val="00F479DC"/>
    <w:rsid w:val="00F77235"/>
    <w:rsid w:val="00F810CD"/>
    <w:rsid w:val="00FC35A3"/>
    <w:rsid w:val="00FC7995"/>
    <w:rsid w:val="00FD1C43"/>
    <w:rsid w:val="00FE089F"/>
    <w:rsid w:val="00FF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text">
    <w:name w:val="&lt;prottext&gt;"/>
    <w:basedOn w:val="Normal"/>
    <w:rsid w:val="004245D1"/>
    <w:pPr>
      <w:widowControl w:val="0"/>
      <w:pBdr>
        <w:left w:val="single" w:sz="6" w:space="6" w:color="auto"/>
        <w:right w:val="single" w:sz="6" w:space="6" w:color="auto"/>
      </w:pBdr>
      <w:spacing w:after="0" w:line="360" w:lineRule="atLeast"/>
    </w:pPr>
    <w:rPr>
      <w:rFonts w:ascii="Times New Roman" w:eastAsia="MS Mincho" w:hAnsi="Times New Roman" w:cs="Times New Roman"/>
      <w:sz w:val="24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4245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NCMLS Radboud Universiteit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MS_Analysis</cp:lastModifiedBy>
  <cp:revision>92</cp:revision>
  <dcterms:created xsi:type="dcterms:W3CDTF">2012-10-25T13:09:00Z</dcterms:created>
  <dcterms:modified xsi:type="dcterms:W3CDTF">2014-03-19T10:13:00Z</dcterms:modified>
</cp:coreProperties>
</file>